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DFDFDF" w:sz="4" w:space="4"/>
        </w:pBdr>
        <w:spacing w:line="24" w:lineRule="atLeast"/>
        <w:ind w:lef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lang w:val="en-US" w:eastAsia="zh-CN" w:bidi="ar"/>
        </w:rPr>
        <w:t>天津市财政局关于协助选任市第三方监督评估 机制专业人员的公告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505050"/>
          <w:spacing w:val="0"/>
          <w:sz w:val="16"/>
          <w:szCs w:val="16"/>
          <w:bdr w:val="none" w:color="auto" w:sz="0" w:space="0"/>
        </w:rPr>
        <w:t>来源：天津市财政局</w:t>
      </w:r>
      <w:r>
        <w:rPr>
          <w:rFonts w:hint="eastAsia" w:ascii="微软雅黑" w:hAnsi="微软雅黑" w:eastAsia="微软雅黑" w:cs="微软雅黑"/>
          <w:i w:val="0"/>
          <w:iCs w:val="0"/>
          <w:caps w:val="0"/>
          <w:color w:val="333333"/>
          <w:spacing w:val="0"/>
          <w:sz w:val="14"/>
          <w:szCs w:val="14"/>
          <w:bdr w:val="none" w:color="auto" w:sz="0" w:space="0"/>
        </w:rPr>
        <w:t> </w:t>
      </w:r>
      <w:r>
        <w:rPr>
          <w:rFonts w:hint="eastAsia" w:ascii="微软雅黑" w:hAnsi="微软雅黑" w:eastAsia="微软雅黑" w:cs="微软雅黑"/>
          <w:i w:val="0"/>
          <w:iCs w:val="0"/>
          <w:caps w:val="0"/>
          <w:color w:val="505050"/>
          <w:spacing w:val="0"/>
          <w:sz w:val="16"/>
          <w:szCs w:val="16"/>
          <w:bdr w:val="none" w:color="auto" w:sz="0" w:space="0"/>
        </w:rPr>
        <w:t>发布时间：2022-10-13 17:22</w:t>
      </w:r>
    </w:p>
    <w:p>
      <w:pPr>
        <w:keepNext w:val="0"/>
        <w:keepLines w:val="0"/>
        <w:widowControl/>
        <w:suppressLineNumbers w:val="0"/>
        <w:pBdr>
          <w:bottom w:val="single" w:color="DFDFDF" w:sz="4" w:space="7"/>
        </w:pBdr>
        <w:ind w:left="0" w:firstLine="0"/>
        <w:jc w:val="left"/>
        <w:rPr>
          <w:rFonts w:hint="eastAsia" w:ascii="微软雅黑" w:hAnsi="微软雅黑" w:eastAsia="微软雅黑" w:cs="微软雅黑"/>
          <w:i w:val="0"/>
          <w:iCs w:val="0"/>
          <w:caps w:val="0"/>
          <w:color w:val="333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ascii="仿宋_GB2312" w:hAnsi="微软雅黑" w:eastAsia="仿宋_GB2312" w:cs="仿宋_GB2312"/>
          <w:i w:val="0"/>
          <w:iCs w:val="0"/>
          <w:caps w:val="0"/>
          <w:color w:val="333333"/>
          <w:spacing w:val="0"/>
          <w:sz w:val="25"/>
          <w:szCs w:val="25"/>
          <w:bdr w:val="none" w:color="auto" w:sz="0" w:space="0"/>
          <w:vertAlign w:val="baseline"/>
        </w:rPr>
        <w:t>根据天津市涉案企业合规第三方监督评估机制管理委员会（以下简称</w:t>
      </w:r>
      <w:r>
        <w:rPr>
          <w:rFonts w:hint="default" w:ascii="仿宋_GB2312" w:hAnsi="微软雅黑" w:eastAsia="仿宋_GB2312" w:cs="仿宋_GB2312"/>
          <w:i w:val="0"/>
          <w:iCs w:val="0"/>
          <w:caps w:val="0"/>
          <w:color w:val="333333"/>
          <w:spacing w:val="0"/>
          <w:sz w:val="25"/>
          <w:szCs w:val="25"/>
          <w:bdr w:val="none" w:color="auto" w:sz="0" w:space="0"/>
          <w:vertAlign w:val="baseline"/>
        </w:rPr>
        <w:t>“第三方机制管委会”）第一次联席会议精神和《天津市涉案企业合规第三方监督评估管委会关于选任首批专业人员的公告》工作部署，注册会计师列为第三方监督评估机制专业人员选任范围。现就首批入库报名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ascii="黑体" w:hAnsi="宋体" w:eastAsia="黑体" w:cs="黑体"/>
          <w:i w:val="0"/>
          <w:iCs w:val="0"/>
          <w:caps w:val="0"/>
          <w:color w:val="333333"/>
          <w:spacing w:val="0"/>
          <w:sz w:val="25"/>
          <w:szCs w:val="25"/>
          <w:bdr w:val="none" w:color="auto" w:sz="0" w:space="0"/>
          <w:vertAlign w:val="baseline"/>
        </w:rPr>
        <w:t>一、报名条件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应当拥有较好的政治素质和道德品质，身体健康，具备履行第三方监督评估工作的专业知识、业务能力和时间精力，所属会计师事务所同意其参与第三方监督评估工作。一般应当具备下列条件：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（一）拥护中国共产党的领导，拥护社会主义法治；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（二）道德品行良好，具有良好职业操守；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（三）具有注册会计师执业资格，在会计师事务所从事审计业务满三年；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（四）工作业绩突出，近三年内考核为称职以上；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（五）熟悉企业运行管理或者具备相应专业知识；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（六）近三年内未受过与执业行为有关的行政处罚或者行业惩戒；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（七）无受过刑事处罚、被开除公职或者开除党籍等情形；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（八）无其他不适宜履职的情形。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第三方机制专业人员在履行第三方监督评估职责期间不得违反规定接受可能与涉案企业有利益关系的业务；在履行第三方监督评估职责结束后二年以内，本人及其所在会计师事务所不得接受涉案企业、个人或者其他有利益关系的单位、人员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eastAsia" w:ascii="黑体" w:hAnsi="宋体" w:eastAsia="黑体" w:cs="黑体"/>
          <w:i w:val="0"/>
          <w:iCs w:val="0"/>
          <w:caps w:val="0"/>
          <w:color w:val="333333"/>
          <w:spacing w:val="0"/>
          <w:sz w:val="25"/>
          <w:szCs w:val="25"/>
          <w:bdr w:val="none" w:color="auto" w:sz="0" w:space="0"/>
          <w:vertAlign w:val="baseline"/>
        </w:rPr>
        <w:t>二、任职期限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专业人员名录库实行定期选任、动态管理，任职期限一般为三年。经第三方机制管委会审核，期满后可以续任。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eastAsia" w:ascii="黑体" w:hAnsi="宋体" w:eastAsia="黑体" w:cs="黑体"/>
          <w:i w:val="0"/>
          <w:iCs w:val="0"/>
          <w:caps w:val="0"/>
          <w:color w:val="333333"/>
          <w:spacing w:val="0"/>
          <w:sz w:val="25"/>
          <w:szCs w:val="25"/>
          <w:bdr w:val="none" w:color="auto" w:sz="0" w:space="0"/>
          <w:vertAlign w:val="baseline"/>
        </w:rPr>
        <w:t>三、报名程序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 请各会计师事务所于</w:t>
      </w:r>
      <w:r>
        <w:rPr>
          <w:rFonts w:hint="default" w:ascii="Times New Roman" w:hAnsi="Times New Roman" w:eastAsia="仿宋_GB2312" w:cs="Times New Roman"/>
          <w:i w:val="0"/>
          <w:iCs w:val="0"/>
          <w:caps w:val="0"/>
          <w:color w:val="333333"/>
          <w:spacing w:val="0"/>
          <w:sz w:val="25"/>
          <w:szCs w:val="25"/>
          <w:bdr w:val="none" w:color="auto" w:sz="0" w:space="0"/>
          <w:vertAlign w:val="baseline"/>
        </w:rPr>
        <w:t>2022</w:t>
      </w:r>
      <w:r>
        <w:rPr>
          <w:rFonts w:hint="default" w:ascii="仿宋_GB2312" w:hAnsi="微软雅黑" w:eastAsia="仿宋_GB2312" w:cs="仿宋_GB2312"/>
          <w:i w:val="0"/>
          <w:iCs w:val="0"/>
          <w:caps w:val="0"/>
          <w:color w:val="333333"/>
          <w:spacing w:val="0"/>
          <w:sz w:val="25"/>
          <w:szCs w:val="25"/>
          <w:bdr w:val="none" w:color="auto" w:sz="0" w:space="0"/>
          <w:vertAlign w:val="baseline"/>
        </w:rPr>
        <w:t>年10月16日前将加盖会计师事务所公章的《天津市第三方监督评估机制专业人员登记表》《天津市第三方监督评估机制专业人员推荐信息汇总表》（WORD版和</w:t>
      </w:r>
      <w:r>
        <w:rPr>
          <w:rFonts w:hint="default" w:ascii="Times New Roman" w:hAnsi="Times New Roman" w:eastAsia="仿宋_GB2312" w:cs="Times New Roman"/>
          <w:i w:val="0"/>
          <w:iCs w:val="0"/>
          <w:caps w:val="0"/>
          <w:color w:val="333333"/>
          <w:spacing w:val="0"/>
          <w:sz w:val="25"/>
          <w:szCs w:val="25"/>
          <w:bdr w:val="none" w:color="auto" w:sz="0" w:space="0"/>
          <w:vertAlign w:val="baseline"/>
        </w:rPr>
        <w:t>PDF</w:t>
      </w:r>
      <w:r>
        <w:rPr>
          <w:rFonts w:hint="default" w:ascii="仿宋_GB2312" w:hAnsi="微软雅黑" w:eastAsia="仿宋_GB2312" w:cs="仿宋_GB2312"/>
          <w:i w:val="0"/>
          <w:iCs w:val="0"/>
          <w:caps w:val="0"/>
          <w:color w:val="333333"/>
          <w:spacing w:val="0"/>
          <w:sz w:val="25"/>
          <w:szCs w:val="25"/>
          <w:bdr w:val="none" w:color="auto" w:sz="0" w:space="0"/>
          <w:vertAlign w:val="baseline"/>
        </w:rPr>
        <w:t>版）及与报名条件相关的材料（学历、奖励证书，资历、任职文件等）扫描件（</w:t>
      </w:r>
      <w:r>
        <w:rPr>
          <w:rFonts w:hint="default" w:ascii="Times New Roman" w:hAnsi="Times New Roman" w:eastAsia="仿宋_GB2312" w:cs="Times New Roman"/>
          <w:i w:val="0"/>
          <w:iCs w:val="0"/>
          <w:caps w:val="0"/>
          <w:color w:val="333333"/>
          <w:spacing w:val="0"/>
          <w:sz w:val="25"/>
          <w:szCs w:val="25"/>
          <w:bdr w:val="none" w:color="auto" w:sz="0" w:space="0"/>
          <w:vertAlign w:val="baseline"/>
        </w:rPr>
        <w:t>PDF</w:t>
      </w:r>
      <w:r>
        <w:rPr>
          <w:rFonts w:hint="default" w:ascii="仿宋_GB2312" w:hAnsi="微软雅黑" w:eastAsia="仿宋_GB2312" w:cs="仿宋_GB2312"/>
          <w:i w:val="0"/>
          <w:iCs w:val="0"/>
          <w:caps w:val="0"/>
          <w:color w:val="333333"/>
          <w:spacing w:val="0"/>
          <w:sz w:val="25"/>
          <w:szCs w:val="25"/>
          <w:bdr w:val="none" w:color="auto" w:sz="0" w:space="0"/>
          <w:vertAlign w:val="baseline"/>
        </w:rPr>
        <w:t>版）报送至以下邮箱（邮件标题标注“申报”二字）”，市财政局将按照程序，向第三方机制管委会报送。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企业合规第三方监督评估机制相关介绍可参见www.tjfic.com。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联系电话：23287886、</w:t>
      </w:r>
      <w:r>
        <w:rPr>
          <w:rFonts w:hint="default" w:ascii="Times New Roman" w:hAnsi="Times New Roman" w:eastAsia="仿宋_GB2312" w:cs="Times New Roman"/>
          <w:i w:val="0"/>
          <w:iCs w:val="0"/>
          <w:caps w:val="0"/>
          <w:color w:val="333333"/>
          <w:spacing w:val="0"/>
          <w:sz w:val="25"/>
          <w:szCs w:val="25"/>
          <w:bdr w:val="none" w:color="auto" w:sz="0" w:space="0"/>
          <w:vertAlign w:val="baseline"/>
        </w:rPr>
        <w:t>23205772</w:t>
      </w:r>
      <w:r>
        <w:rPr>
          <w:rFonts w:hint="default" w:ascii="仿宋_GB2312" w:hAnsi="微软雅黑" w:eastAsia="仿宋_GB2312" w:cs="仿宋_GB2312"/>
          <w:i w:val="0"/>
          <w:iCs w:val="0"/>
          <w:caps w:val="0"/>
          <w:color w:val="333333"/>
          <w:spacing w:val="0"/>
          <w:sz w:val="25"/>
          <w:szCs w:val="25"/>
          <w:bdr w:val="none" w:color="auto" w:sz="0" w:space="0"/>
          <w:vertAlign w:val="baseline"/>
        </w:rPr>
        <w:t>，邮箱</w:t>
      </w:r>
      <w:r>
        <w:rPr>
          <w:rFonts w:hint="default" w:ascii="Times New Roman" w:hAnsi="Times New Roman" w:eastAsia="仿宋_GB2312" w:cs="Times New Roman"/>
          <w:i w:val="0"/>
          <w:iCs w:val="0"/>
          <w:caps w:val="0"/>
          <w:color w:val="333333"/>
          <w:spacing w:val="0"/>
          <w:sz w:val="25"/>
          <w:szCs w:val="25"/>
          <w:bdr w:val="none" w:color="auto" w:sz="0" w:space="0"/>
          <w:vertAlign w:val="baseline"/>
        </w:rPr>
        <w:t>:zcjgk@tjicpa.org.cn  </w:t>
      </w:r>
      <w:r>
        <w:rPr>
          <w:rFonts w:hint="eastAsia" w:ascii="微软雅黑" w:hAnsi="微软雅黑" w:eastAsia="微软雅黑" w:cs="微软雅黑"/>
          <w:i w:val="0"/>
          <w:iCs w:val="0"/>
          <w:caps w:val="0"/>
          <w:color w:val="333333"/>
          <w:spacing w:val="0"/>
          <w:sz w:val="16"/>
          <w:szCs w:val="16"/>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附件：1.天津市第三方监督评估机制专业人员登记表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1536" w:right="0" w:hanging="1020"/>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      </w:t>
      </w:r>
      <w:r>
        <w:rPr>
          <w:rFonts w:hint="default" w:ascii="Times New Roman" w:hAnsi="Times New Roman" w:eastAsia="仿宋_GB2312" w:cs="Times New Roman"/>
          <w:i w:val="0"/>
          <w:iCs w:val="0"/>
          <w:caps w:val="0"/>
          <w:color w:val="333333"/>
          <w:spacing w:val="0"/>
          <w:sz w:val="25"/>
          <w:szCs w:val="25"/>
          <w:bdr w:val="none" w:color="auto" w:sz="0" w:space="0"/>
          <w:vertAlign w:val="baseline"/>
        </w:rPr>
        <w:t>2.</w:t>
      </w:r>
      <w:r>
        <w:rPr>
          <w:rFonts w:hint="default" w:ascii="仿宋_GB2312" w:hAnsi="微软雅黑" w:eastAsia="仿宋_GB2312" w:cs="仿宋_GB2312"/>
          <w:i w:val="0"/>
          <w:iCs w:val="0"/>
          <w:caps w:val="0"/>
          <w:color w:val="333333"/>
          <w:spacing w:val="0"/>
          <w:sz w:val="25"/>
          <w:szCs w:val="25"/>
          <w:bdr w:val="none" w:color="auto" w:sz="0" w:space="0"/>
          <w:vertAlign w:val="baseline"/>
        </w:rPr>
        <w:t>天津市第三方监督评估机制专业人员推荐信息汇总表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rFonts w:hint="eastAsia" w:ascii="微软雅黑" w:hAnsi="微软雅黑" w:eastAsia="微软雅黑" w:cs="微软雅黑"/>
          <w:i w:val="0"/>
          <w:iCs w:val="0"/>
          <w:caps w:val="0"/>
          <w:color w:val="333333"/>
          <w:spacing w:val="0"/>
          <w:sz w:val="16"/>
          <w:szCs w:val="16"/>
          <w:bdr w:val="none" w:color="auto" w:sz="0" w:space="0"/>
          <w:vertAlign w:val="baseline"/>
        </w:rPr>
      </w:pPr>
      <w:r>
        <w:rPr>
          <w:rFonts w:hint="eastAsia" w:ascii="微软雅黑" w:hAnsi="微软雅黑" w:eastAsia="微软雅黑" w:cs="微软雅黑"/>
          <w:i w:val="0"/>
          <w:iCs w:val="0"/>
          <w:caps w:val="0"/>
          <w:color w:val="333333"/>
          <w:spacing w:val="0"/>
          <w:sz w:val="16"/>
          <w:szCs w:val="16"/>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rFonts w:hint="eastAsia" w:ascii="微软雅黑" w:hAnsi="微软雅黑" w:eastAsia="微软雅黑" w:cs="微软雅黑"/>
          <w:i w:val="0"/>
          <w:iCs w:val="0"/>
          <w:caps w:val="0"/>
          <w:color w:val="333333"/>
          <w:spacing w:val="0"/>
          <w:sz w:val="16"/>
          <w:szCs w:val="16"/>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rFonts w:hint="eastAsia" w:ascii="微软雅黑" w:hAnsi="微软雅黑" w:eastAsia="微软雅黑" w:cs="微软雅黑"/>
          <w:i w:val="0"/>
          <w:iCs w:val="0"/>
          <w:caps w:val="0"/>
          <w:color w:val="333333"/>
          <w:spacing w:val="0"/>
          <w:sz w:val="16"/>
          <w:szCs w:val="16"/>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eastAsia" w:ascii="微软雅黑" w:hAnsi="微软雅黑" w:eastAsia="微软雅黑" w:cs="微软雅黑"/>
          <w:i w:val="0"/>
          <w:iCs w:val="0"/>
          <w:caps w:val="0"/>
          <w:color w:val="333333"/>
          <w:spacing w:val="0"/>
          <w:sz w:val="16"/>
          <w:szCs w:val="16"/>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                           </w:t>
      </w:r>
      <w:r>
        <w:rPr>
          <w:rFonts w:hint="eastAsia" w:ascii="仿宋_GB2312" w:hAnsi="微软雅黑" w:eastAsia="仿宋_GB2312" w:cs="仿宋_GB2312"/>
          <w:i w:val="0"/>
          <w:iCs w:val="0"/>
          <w:caps w:val="0"/>
          <w:color w:val="333333"/>
          <w:spacing w:val="0"/>
          <w:sz w:val="25"/>
          <w:szCs w:val="25"/>
          <w:bdr w:val="none" w:color="auto" w:sz="0" w:space="0"/>
          <w:vertAlign w:val="baseline"/>
          <w:lang w:val="en-US" w:eastAsia="zh-CN"/>
        </w:rPr>
        <w:t xml:space="preserve"> </w:t>
      </w:r>
      <w:bookmarkStart w:id="0" w:name="_GoBack"/>
      <w:bookmarkEnd w:id="0"/>
      <w:r>
        <w:rPr>
          <w:rFonts w:hint="default" w:ascii="仿宋_GB2312" w:hAnsi="微软雅黑" w:eastAsia="仿宋_GB2312" w:cs="仿宋_GB2312"/>
          <w:i w:val="0"/>
          <w:iCs w:val="0"/>
          <w:caps w:val="0"/>
          <w:color w:val="333333"/>
          <w:spacing w:val="0"/>
          <w:sz w:val="25"/>
          <w:szCs w:val="25"/>
          <w:bdr w:val="none" w:color="auto" w:sz="0" w:space="0"/>
          <w:vertAlign w:val="baseline"/>
        </w:rPr>
        <w:t>   市财政局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jc w:val="both"/>
        <w:textAlignment w:val="baseline"/>
        <w:rPr>
          <w:sz w:val="16"/>
          <w:szCs w:val="16"/>
        </w:rPr>
      </w:pPr>
      <w:r>
        <w:rPr>
          <w:rFonts w:hint="default" w:ascii="仿宋_GB2312" w:hAnsi="微软雅黑" w:eastAsia="仿宋_GB2312" w:cs="仿宋_GB2312"/>
          <w:i w:val="0"/>
          <w:iCs w:val="0"/>
          <w:caps w:val="0"/>
          <w:color w:val="333333"/>
          <w:spacing w:val="0"/>
          <w:sz w:val="25"/>
          <w:szCs w:val="25"/>
          <w:bdr w:val="none" w:color="auto" w:sz="0" w:space="0"/>
          <w:vertAlign w:val="baseline"/>
        </w:rPr>
        <w:t>                           2022年10月13日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DBkMDM3ZThhMzY5NWMwM2UyOWJiOTFjYTkzYmUifQ=="/>
  </w:docVars>
  <w:rsids>
    <w:rsidRoot w:val="00000000"/>
    <w:rsid w:val="6CC3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1029</Characters>
  <Lines>0</Lines>
  <Paragraphs>0</Paragraphs>
  <TotalTime>0</TotalTime>
  <ScaleCrop>false</ScaleCrop>
  <LinksUpToDate>false</LinksUpToDate>
  <CharactersWithSpaces>1033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2022-10-14T01:31:33Z</dcterms:created>
  <dc:creator>TeddyNiu</dc:creator>
  <cp:lastModifiedBy>LFA</cp:lastModifiedBy>
  <dcterms:modified xsi:type="dcterms:W3CDTF">2022-10-14T01:32:06Z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D5C04E8F11DB4850A01932D18080C014</vt:lpwstr>
  </property>
</Properties>
</file>